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CCC7" w14:textId="0CF908CC" w:rsidR="007D0346" w:rsidRPr="00227456" w:rsidRDefault="0050321D" w:rsidP="007D0346">
      <w:pPr>
        <w:jc w:val="center"/>
        <w:rPr>
          <w:rFonts w:ascii="OpenDyslexic" w:hAnsi="OpenDyslexic"/>
          <w:b/>
          <w:bCs/>
          <w:color w:val="048B9A"/>
          <w:sz w:val="32"/>
          <w:szCs w:val="32"/>
        </w:rPr>
      </w:pPr>
      <w:r w:rsidRPr="00227456">
        <w:rPr>
          <w:rFonts w:ascii="OpenDyslexic" w:hAnsi="OpenDyslexic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D33108" wp14:editId="027875BE">
            <wp:simplePos x="0" y="0"/>
            <wp:positionH relativeFrom="column">
              <wp:posOffset>-922655</wp:posOffset>
            </wp:positionH>
            <wp:positionV relativeFrom="page">
              <wp:posOffset>-121920</wp:posOffset>
            </wp:positionV>
            <wp:extent cx="178054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261" y="21261"/>
                <wp:lineTo x="21261" y="0"/>
                <wp:lineTo x="0" y="0"/>
              </wp:wrapPolygon>
            </wp:wrapTight>
            <wp:docPr id="2122781025" name="Image 1" descr="C:\Users\Chansard\Desktop\Abracadabra Conseil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Chansard\Desktop\Abracadabra Conseil\LOGOS\logo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346" w:rsidRPr="00227456">
        <w:rPr>
          <w:rFonts w:ascii="OpenDyslexic" w:hAnsi="OpenDyslexic"/>
          <w:b/>
          <w:bCs/>
          <w:color w:val="048B9A"/>
          <w:sz w:val="32"/>
          <w:szCs w:val="32"/>
        </w:rPr>
        <w:t xml:space="preserve">POLITIQUE D’ACCESSIBILITÉ POUR LES PERSONNES </w:t>
      </w:r>
    </w:p>
    <w:p w14:paraId="0DC79CE8" w14:textId="138B32FD" w:rsidR="007D0346" w:rsidRPr="00227456" w:rsidRDefault="007D0346" w:rsidP="007D0346">
      <w:pPr>
        <w:jc w:val="center"/>
        <w:rPr>
          <w:rFonts w:ascii="OpenDyslexic" w:hAnsi="OpenDyslexic"/>
          <w:b/>
          <w:bCs/>
          <w:color w:val="048B9A"/>
          <w:sz w:val="32"/>
          <w:szCs w:val="32"/>
        </w:rPr>
      </w:pPr>
      <w:r w:rsidRPr="00227456">
        <w:rPr>
          <w:rFonts w:ascii="OpenDyslexic" w:hAnsi="OpenDyslexic"/>
          <w:b/>
          <w:bCs/>
          <w:color w:val="048B9A"/>
          <w:sz w:val="32"/>
          <w:szCs w:val="32"/>
        </w:rPr>
        <w:t>EN SITUATION DE HANDICAP (PSH)</w:t>
      </w:r>
    </w:p>
    <w:p w14:paraId="51A0EFB8" w14:textId="3DB1C7A4" w:rsidR="0050321D" w:rsidRPr="0050321D" w:rsidRDefault="0050321D" w:rsidP="0050321D">
      <w:pPr>
        <w:jc w:val="both"/>
        <w:rPr>
          <w:rFonts w:ascii="OpenDyslexic" w:hAnsi="OpenDyslexic"/>
        </w:rPr>
      </w:pPr>
      <w:r w:rsidRPr="00227456">
        <w:rPr>
          <w:rFonts w:ascii="OpenDyslexic" w:hAnsi="OpenDyslexic"/>
        </w:rPr>
        <w:t xml:space="preserve">Abracadabra Conseil </w:t>
      </w:r>
      <w:r w:rsidRPr="0050321D">
        <w:rPr>
          <w:rFonts w:ascii="OpenDyslexic" w:hAnsi="OpenDyslexic"/>
        </w:rPr>
        <w:t>organise des sessions de formation en présentiel</w:t>
      </w:r>
      <w:r w:rsidRPr="00227456">
        <w:rPr>
          <w:rFonts w:ascii="OpenDyslexic" w:hAnsi="OpenDyslexic"/>
        </w:rPr>
        <w:t xml:space="preserve">, </w:t>
      </w:r>
      <w:r w:rsidRPr="0050321D">
        <w:rPr>
          <w:rFonts w:ascii="OpenDyslexic" w:hAnsi="OpenDyslexic"/>
        </w:rPr>
        <w:t>à distance</w:t>
      </w:r>
      <w:r w:rsidRPr="00227456">
        <w:rPr>
          <w:rFonts w:ascii="OpenDyslexic" w:hAnsi="OpenDyslexic"/>
        </w:rPr>
        <w:t xml:space="preserve"> et en mixte</w:t>
      </w:r>
      <w:r w:rsidRPr="0050321D">
        <w:rPr>
          <w:rFonts w:ascii="OpenDyslexic" w:hAnsi="OpenDyslexic"/>
        </w:rPr>
        <w:t xml:space="preserve">. Ces </w:t>
      </w:r>
      <w:r w:rsidRPr="0050321D">
        <w:rPr>
          <w:rFonts w:ascii="OpenDyslexic" w:hAnsi="OpenDyslexic"/>
          <w:b/>
          <w:bCs/>
        </w:rPr>
        <w:t>formations</w:t>
      </w:r>
      <w:r w:rsidRPr="0050321D">
        <w:rPr>
          <w:rFonts w:ascii="OpenDyslexic" w:hAnsi="OpenDyslexic"/>
        </w:rPr>
        <w:t xml:space="preserve"> sont </w:t>
      </w:r>
      <w:r w:rsidRPr="0050321D">
        <w:rPr>
          <w:rFonts w:ascii="OpenDyslexic" w:hAnsi="OpenDyslexic"/>
          <w:b/>
          <w:bCs/>
        </w:rPr>
        <w:t>accessibles</w:t>
      </w:r>
      <w:r w:rsidRPr="0050321D">
        <w:rPr>
          <w:rFonts w:ascii="OpenDyslexic" w:hAnsi="OpenDyslexic"/>
        </w:rPr>
        <w:t xml:space="preserve"> aux </w:t>
      </w:r>
      <w:r w:rsidRPr="0050321D">
        <w:rPr>
          <w:rFonts w:ascii="OpenDyslexic" w:hAnsi="OpenDyslexic"/>
          <w:b/>
          <w:bCs/>
        </w:rPr>
        <w:t>publics en situation de handicap</w:t>
      </w:r>
      <w:r w:rsidRPr="0050321D">
        <w:rPr>
          <w:rFonts w:ascii="OpenDyslexic" w:hAnsi="OpenDyslexic"/>
        </w:rPr>
        <w:t xml:space="preserve"> et respecte la loi du 11 février 2005 sur l’égalité des droits et des chances, la participation et la citoyenneté des personnes handicapées.</w:t>
      </w:r>
    </w:p>
    <w:p w14:paraId="3053FDC4" w14:textId="2C899365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Nous mettons tout en œuvre pour rendre nos formations accessibles à tous les publics et avons mis en place des mesures afin de prendre en compte les </w:t>
      </w:r>
      <w:r w:rsidRPr="0050321D">
        <w:rPr>
          <w:rFonts w:ascii="OpenDyslexic" w:hAnsi="OpenDyslexic"/>
          <w:b/>
          <w:bCs/>
        </w:rPr>
        <w:t>besoins particuliers liés au handicap</w:t>
      </w:r>
      <w:r w:rsidRPr="0050321D">
        <w:rPr>
          <w:rFonts w:ascii="OpenDyslexic" w:hAnsi="OpenDyslexic"/>
        </w:rPr>
        <w:t> :</w:t>
      </w:r>
    </w:p>
    <w:p w14:paraId="213B1D66" w14:textId="1E52006F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 Les formations se déroulent</w:t>
      </w:r>
      <w:r w:rsidR="00E337B6" w:rsidRPr="00227456">
        <w:rPr>
          <w:rFonts w:ascii="OpenDyslexic" w:hAnsi="OpenDyslexic"/>
        </w:rPr>
        <w:t>, si besoin,</w:t>
      </w:r>
      <w:r w:rsidRPr="0050321D">
        <w:rPr>
          <w:rFonts w:ascii="OpenDyslexic" w:hAnsi="OpenDyslexic"/>
        </w:rPr>
        <w:t xml:space="preserve"> dans des établissements </w:t>
      </w:r>
      <w:r w:rsidRPr="00227456">
        <w:rPr>
          <w:rFonts w:ascii="OpenDyslexic" w:hAnsi="OpenDyslexic"/>
        </w:rPr>
        <w:t>accessibles aux personnes à mobilité réduite</w:t>
      </w:r>
      <w:r w:rsidRPr="0050321D">
        <w:rPr>
          <w:rFonts w:ascii="OpenDyslexic" w:hAnsi="OpenDyslexic"/>
        </w:rPr>
        <w:t xml:space="preserve"> ;</w:t>
      </w:r>
    </w:p>
    <w:p w14:paraId="73E399AF" w14:textId="21875CE4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– Un </w:t>
      </w:r>
      <w:r w:rsidRPr="0050321D">
        <w:rPr>
          <w:rFonts w:ascii="OpenDyslexic" w:hAnsi="OpenDyslexic"/>
          <w:b/>
          <w:bCs/>
        </w:rPr>
        <w:t>référent handicap</w:t>
      </w:r>
      <w:r w:rsidRPr="0050321D">
        <w:rPr>
          <w:rFonts w:ascii="OpenDyslexic" w:hAnsi="OpenDyslexic"/>
        </w:rPr>
        <w:t xml:space="preserve"> se forme régulièrement auprès de l’Agefiph et la </w:t>
      </w:r>
      <w:r w:rsidR="00102AF9" w:rsidRPr="00227456">
        <w:rPr>
          <w:rFonts w:ascii="OpenDyslexic" w:hAnsi="OpenDyslexic"/>
        </w:rPr>
        <w:t>Région Centre Val de Loire</w:t>
      </w:r>
      <w:r w:rsidRPr="0050321D">
        <w:rPr>
          <w:rFonts w:ascii="OpenDyslexic" w:hAnsi="OpenDyslexic"/>
        </w:rPr>
        <w:t xml:space="preserve">, effectue une veille sur champ du handicap et en tire les enseignements afin d’informer et sensibiliser </w:t>
      </w:r>
      <w:r w:rsidR="00102AF9" w:rsidRPr="00227456">
        <w:rPr>
          <w:rFonts w:ascii="OpenDyslexic" w:hAnsi="OpenDyslexic"/>
        </w:rPr>
        <w:t>ses clients</w:t>
      </w:r>
      <w:r w:rsidRPr="0050321D">
        <w:rPr>
          <w:rFonts w:ascii="OpenDyslexic" w:hAnsi="OpenDyslexic"/>
        </w:rPr>
        <w:t xml:space="preserve"> sur le sujet ;</w:t>
      </w:r>
    </w:p>
    <w:p w14:paraId="7D8BC149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– Nous prenons en compte les </w:t>
      </w:r>
      <w:r w:rsidRPr="0050321D">
        <w:rPr>
          <w:rFonts w:ascii="OpenDyslexic" w:hAnsi="OpenDyslexic"/>
          <w:b/>
          <w:bCs/>
        </w:rPr>
        <w:t>besoins individuels des personnes</w:t>
      </w:r>
      <w:r w:rsidRPr="0050321D">
        <w:rPr>
          <w:rFonts w:ascii="OpenDyslexic" w:hAnsi="OpenDyslexic"/>
        </w:rPr>
        <w:t xml:space="preserve"> et apportons les moyens de </w:t>
      </w:r>
      <w:r w:rsidRPr="0050321D">
        <w:rPr>
          <w:rFonts w:ascii="OpenDyslexic" w:hAnsi="OpenDyslexic"/>
          <w:b/>
          <w:bCs/>
        </w:rPr>
        <w:t xml:space="preserve">compensation </w:t>
      </w:r>
      <w:r w:rsidRPr="0050321D">
        <w:rPr>
          <w:rFonts w:ascii="OpenDyslexic" w:hAnsi="OpenDyslexic"/>
        </w:rPr>
        <w:t>nécessaires : matériel, humain, support, temps, évaluations… ;</w:t>
      </w:r>
    </w:p>
    <w:p w14:paraId="75831151" w14:textId="7D6C7D2D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– Nous orientons les apprenants vers </w:t>
      </w:r>
      <w:r w:rsidR="009F612C" w:rsidRPr="00227456">
        <w:rPr>
          <w:rFonts w:ascii="OpenDyslexic" w:hAnsi="OpenDyslexic"/>
        </w:rPr>
        <w:t xml:space="preserve">des </w:t>
      </w:r>
      <w:r w:rsidRPr="0050321D">
        <w:rPr>
          <w:rFonts w:ascii="OpenDyslexic" w:hAnsi="OpenDyslexic"/>
        </w:rPr>
        <w:t>organismes pouvant accompagner le parcours d’une personne en situation de handicap.</w:t>
      </w:r>
    </w:p>
    <w:p w14:paraId="403C3DBF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 </w:t>
      </w:r>
    </w:p>
    <w:p w14:paraId="6219A2D3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u w:val="single"/>
        </w:rPr>
        <w:t xml:space="preserve">Contact référent handicap </w:t>
      </w:r>
      <w:r w:rsidRPr="0050321D">
        <w:rPr>
          <w:rFonts w:ascii="OpenDyslexic" w:hAnsi="OpenDyslexic"/>
        </w:rPr>
        <w:t>:</w:t>
      </w:r>
    </w:p>
    <w:p w14:paraId="0C885BB6" w14:textId="06C85C32" w:rsidR="0050321D" w:rsidRPr="0050321D" w:rsidRDefault="00C717DB" w:rsidP="0050321D">
      <w:pPr>
        <w:jc w:val="both"/>
        <w:rPr>
          <w:rFonts w:ascii="OpenDyslexic" w:hAnsi="OpenDyslexic"/>
        </w:rPr>
      </w:pPr>
      <w:r w:rsidRPr="00227456">
        <w:rPr>
          <w:rFonts w:ascii="OpenDyslexic" w:hAnsi="OpenDyslexic"/>
        </w:rPr>
        <w:t>Virginie CHANSARD</w:t>
      </w:r>
    </w:p>
    <w:p w14:paraId="66330D89" w14:textId="2D6F05A2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Appel direct : </w:t>
      </w:r>
      <w:r w:rsidR="00C717DB" w:rsidRPr="00227456">
        <w:rPr>
          <w:rFonts w:ascii="OpenDyslexic" w:hAnsi="OpenDyslexic"/>
        </w:rPr>
        <w:t>06 67 46 87 62</w:t>
      </w:r>
    </w:p>
    <w:p w14:paraId="4F9B385B" w14:textId="26FF9AA5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Adresse email :</w:t>
      </w:r>
      <w:r w:rsidRPr="0050321D">
        <w:rPr>
          <w:rFonts w:ascii="OpenDyslexic" w:hAnsi="OpenDyslexic"/>
          <w:b/>
          <w:bCs/>
        </w:rPr>
        <w:t xml:space="preserve"> </w:t>
      </w:r>
      <w:hyperlink r:id="rId7" w:history="1">
        <w:r w:rsidR="00C717DB" w:rsidRPr="00227456">
          <w:rPr>
            <w:rStyle w:val="Lienhypertexte"/>
            <w:rFonts w:ascii="OpenDyslexic" w:hAnsi="OpenDyslexic"/>
            <w:b/>
            <w:bCs/>
          </w:rPr>
          <w:t>abracadabraconseil@gmail.com</w:t>
        </w:r>
      </w:hyperlink>
      <w:r w:rsidR="00C717DB" w:rsidRPr="00227456">
        <w:rPr>
          <w:rFonts w:ascii="OpenDyslexic" w:hAnsi="OpenDyslexic"/>
          <w:b/>
          <w:bCs/>
        </w:rPr>
        <w:t xml:space="preserve"> </w:t>
      </w:r>
    </w:p>
    <w:p w14:paraId="42D7D3F4" w14:textId="136F4409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  </w:t>
      </w:r>
    </w:p>
    <w:p w14:paraId="6CEB0125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b/>
          <w:bCs/>
        </w:rPr>
        <w:lastRenderedPageBreak/>
        <w:t>CONDITIONS D’ACCÈS POUR LES PERSONNES EN SITUATION DE HANDICAP (PSH)</w:t>
      </w:r>
    </w:p>
    <w:p w14:paraId="0E97C98D" w14:textId="0E97B0E2" w:rsidR="0050321D" w:rsidRPr="00227456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Chaque formation est accessible aux personnes en situation de handicap. Les délais d’accès à nos formations sont de 1</w:t>
      </w:r>
      <w:r w:rsidR="004F2B6C" w:rsidRPr="00227456">
        <w:rPr>
          <w:rFonts w:ascii="OpenDyslexic" w:hAnsi="OpenDyslexic"/>
        </w:rPr>
        <w:t>5</w:t>
      </w:r>
      <w:r w:rsidRPr="0050321D">
        <w:rPr>
          <w:rFonts w:ascii="OpenDyslexic" w:hAnsi="OpenDyslexic"/>
        </w:rPr>
        <w:t xml:space="preserve"> jours entre la demande et le démarrage de la formation et peut aller jusqu’à deux mois pour les personnes en situation de handicap en fonction de l’aide à mettre en place.</w:t>
      </w:r>
    </w:p>
    <w:p w14:paraId="79D15ECC" w14:textId="0EA009AD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u w:val="single"/>
        </w:rPr>
        <w:t>Processus de conditions d’accès des personnes en situation de handicap dès l</w:t>
      </w:r>
      <w:r w:rsidR="009F612C" w:rsidRPr="00227456">
        <w:rPr>
          <w:rFonts w:ascii="OpenDyslexic" w:hAnsi="OpenDyslexic"/>
          <w:u w:val="single"/>
        </w:rPr>
        <w:t>a phase préliminaire</w:t>
      </w:r>
      <w:r w:rsidRPr="0050321D">
        <w:rPr>
          <w:rFonts w:ascii="OpenDyslexic" w:hAnsi="OpenDyslexic"/>
          <w:u w:val="single"/>
        </w:rPr>
        <w:t> :</w:t>
      </w:r>
    </w:p>
    <w:p w14:paraId="702EAAD2" w14:textId="5D37C4F9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– </w:t>
      </w:r>
      <w:r w:rsidR="00C810A6" w:rsidRPr="00227456">
        <w:rPr>
          <w:rFonts w:ascii="OpenDyslexic" w:hAnsi="OpenDyslexic"/>
          <w:b/>
          <w:bCs/>
        </w:rPr>
        <w:t>Grille d’analyse partagée de la situation et de la demande</w:t>
      </w:r>
      <w:r w:rsidR="00227456">
        <w:rPr>
          <w:rFonts w:ascii="OpenDyslexic" w:hAnsi="OpenDyslexic"/>
          <w:b/>
          <w:bCs/>
        </w:rPr>
        <w:t xml:space="preserve"> </w:t>
      </w:r>
      <w:r w:rsidRPr="0050321D">
        <w:rPr>
          <w:rFonts w:ascii="OpenDyslexic" w:hAnsi="OpenDyslexic"/>
        </w:rPr>
        <w:t>: avez-vous des besoins d’aménagements spécifiques pour réaliser cette formation (handicap)? ;</w:t>
      </w:r>
    </w:p>
    <w:p w14:paraId="495C3E16" w14:textId="4D258D53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– </w:t>
      </w:r>
      <w:r w:rsidRPr="0050321D">
        <w:rPr>
          <w:rFonts w:ascii="OpenDyslexic" w:hAnsi="OpenDyslexic"/>
          <w:b/>
          <w:bCs/>
        </w:rPr>
        <w:t>Entretien avec le référent handicap</w:t>
      </w:r>
      <w:r w:rsidRPr="0050321D">
        <w:rPr>
          <w:rFonts w:ascii="OpenDyslexic" w:hAnsi="OpenDyslexic"/>
        </w:rPr>
        <w:t xml:space="preserve"> qui facilite l’accès à la formation.</w:t>
      </w:r>
      <w:r w:rsidR="00EA5C16" w:rsidRPr="00227456">
        <w:rPr>
          <w:rFonts w:ascii="OpenDyslexic" w:hAnsi="OpenDyslexic"/>
        </w:rPr>
        <w:t xml:space="preserve"> </w:t>
      </w:r>
      <w:r w:rsidRPr="0050321D">
        <w:rPr>
          <w:rFonts w:ascii="OpenDyslexic" w:hAnsi="OpenDyslexic"/>
        </w:rPr>
        <w:t>N.B. : nous nous appuyons sur la personne qui développe bien souvent ses propres solutions de compensation</w:t>
      </w:r>
      <w:r w:rsidR="00227456" w:rsidRPr="00227456">
        <w:rPr>
          <w:rFonts w:ascii="OpenDyslexic" w:hAnsi="OpenDyslexic"/>
        </w:rPr>
        <w:t> ;</w:t>
      </w:r>
    </w:p>
    <w:p w14:paraId="72C6BF4F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– Si besoin : </w:t>
      </w:r>
      <w:r w:rsidRPr="0050321D">
        <w:rPr>
          <w:rFonts w:ascii="OpenDyslexic" w:hAnsi="OpenDyslexic"/>
          <w:b/>
          <w:bCs/>
        </w:rPr>
        <w:t>mise en relation avec les organismes</w:t>
      </w:r>
      <w:r w:rsidRPr="0050321D">
        <w:rPr>
          <w:rFonts w:ascii="OpenDyslexic" w:hAnsi="OpenDyslexic"/>
        </w:rPr>
        <w:t xml:space="preserve"> susceptibles d’accompagner les personnes en situation de handicap : </w:t>
      </w:r>
      <w:r w:rsidRPr="0050321D">
        <w:rPr>
          <w:rFonts w:ascii="OpenDyslexic" w:hAnsi="OpenDyslexic"/>
          <w:b/>
          <w:bCs/>
        </w:rPr>
        <w:t>Agefiph</w:t>
      </w:r>
      <w:r w:rsidRPr="0050321D">
        <w:rPr>
          <w:rFonts w:ascii="OpenDyslexic" w:hAnsi="OpenDyslexic"/>
        </w:rPr>
        <w:t xml:space="preserve">, </w:t>
      </w:r>
      <w:r w:rsidRPr="0050321D">
        <w:rPr>
          <w:rFonts w:ascii="OpenDyslexic" w:hAnsi="OpenDyslexic"/>
          <w:b/>
          <w:bCs/>
        </w:rPr>
        <w:t>Cap Emploi</w:t>
      </w:r>
      <w:r w:rsidRPr="0050321D">
        <w:rPr>
          <w:rFonts w:ascii="OpenDyslexic" w:hAnsi="OpenDyslexic"/>
        </w:rPr>
        <w:t xml:space="preserve">, </w:t>
      </w:r>
      <w:r w:rsidRPr="0050321D">
        <w:rPr>
          <w:rFonts w:ascii="OpenDyslexic" w:hAnsi="OpenDyslexic"/>
          <w:b/>
          <w:bCs/>
        </w:rPr>
        <w:t>MDPH</w:t>
      </w:r>
      <w:r w:rsidRPr="0050321D">
        <w:rPr>
          <w:rFonts w:ascii="OpenDyslexic" w:hAnsi="OpenDyslexic"/>
        </w:rPr>
        <w:t>…</w:t>
      </w:r>
    </w:p>
    <w:p w14:paraId="4DA63A6D" w14:textId="2751DED8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– </w:t>
      </w:r>
      <w:r w:rsidRPr="0050321D">
        <w:rPr>
          <w:rFonts w:ascii="OpenDyslexic" w:hAnsi="OpenDyslexic"/>
          <w:b/>
          <w:bCs/>
        </w:rPr>
        <w:t>Mise à disposition d’aides matérielles</w:t>
      </w:r>
      <w:r w:rsidRPr="0050321D">
        <w:rPr>
          <w:rFonts w:ascii="OpenDyslexic" w:hAnsi="OpenDyslexic"/>
        </w:rPr>
        <w:t xml:space="preserve"> destinées à compenser les conséquences du handicap</w:t>
      </w:r>
      <w:r w:rsidR="00227456" w:rsidRPr="00227456">
        <w:rPr>
          <w:rFonts w:ascii="OpenDyslexic" w:hAnsi="OpenDyslexic"/>
        </w:rPr>
        <w:t> ;</w:t>
      </w:r>
    </w:p>
    <w:p w14:paraId="7D1C43D5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– </w:t>
      </w:r>
      <w:r w:rsidRPr="0050321D">
        <w:rPr>
          <w:rFonts w:ascii="OpenDyslexic" w:hAnsi="OpenDyslexic"/>
          <w:b/>
          <w:bCs/>
        </w:rPr>
        <w:t>Aménagements particuliers</w:t>
      </w:r>
      <w:r w:rsidRPr="0050321D">
        <w:rPr>
          <w:rFonts w:ascii="OpenDyslexic" w:hAnsi="OpenDyslexic"/>
        </w:rPr>
        <w:t xml:space="preserve"> et compensations nécessaires : matériel, humain, support, temps, évaluations…</w:t>
      </w:r>
    </w:p>
    <w:p w14:paraId="40633339" w14:textId="7BC13509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 Lorsque le handicap est non déclaré en amont de la formation : l</w:t>
      </w:r>
      <w:r w:rsidR="00EA5C16" w:rsidRPr="00227456">
        <w:rPr>
          <w:rFonts w:ascii="OpenDyslexic" w:hAnsi="OpenDyslexic"/>
        </w:rPr>
        <w:t>’</w:t>
      </w:r>
      <w:r w:rsidRPr="0050321D">
        <w:rPr>
          <w:rFonts w:ascii="OpenDyslexic" w:hAnsi="OpenDyslexic"/>
        </w:rPr>
        <w:t xml:space="preserve">équipe pédagogique </w:t>
      </w:r>
      <w:r w:rsidR="00EA5C16" w:rsidRPr="00227456">
        <w:rPr>
          <w:rFonts w:ascii="OpenDyslexic" w:hAnsi="OpenDyslexic"/>
        </w:rPr>
        <w:t xml:space="preserve">peut faire appel au </w:t>
      </w:r>
      <w:r w:rsidRPr="0050321D">
        <w:rPr>
          <w:rFonts w:ascii="OpenDyslexic" w:hAnsi="OpenDyslexic"/>
        </w:rPr>
        <w:t>référent handicap</w:t>
      </w:r>
      <w:r w:rsidR="00EA5C16" w:rsidRPr="00227456">
        <w:rPr>
          <w:rFonts w:ascii="OpenDyslexic" w:hAnsi="OpenDyslexic"/>
        </w:rPr>
        <w:t xml:space="preserve"> et aux ressources proposées par l’Agefiph sur </w:t>
      </w:r>
      <w:r w:rsidRPr="0050321D">
        <w:rPr>
          <w:rFonts w:ascii="OpenDyslexic" w:hAnsi="OpenDyslexic"/>
        </w:rPr>
        <w:t>le handicap en formation</w:t>
      </w:r>
      <w:r w:rsidR="00EA5C16" w:rsidRPr="00227456">
        <w:rPr>
          <w:rFonts w:ascii="OpenDyslexic" w:hAnsi="OpenDyslexic"/>
        </w:rPr>
        <w:t xml:space="preserve">, </w:t>
      </w:r>
      <w:r w:rsidRPr="0050321D">
        <w:rPr>
          <w:rFonts w:ascii="OpenDyslexic" w:hAnsi="OpenDyslexic"/>
        </w:rPr>
        <w:t>les différents types de handicap par catégorie et les techniques de compensation adéquates.</w:t>
      </w:r>
    </w:p>
    <w:p w14:paraId="3BE2718A" w14:textId="77777777" w:rsidR="000B12A5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 </w:t>
      </w:r>
    </w:p>
    <w:p w14:paraId="70DB8F0D" w14:textId="77777777" w:rsidR="000B12A5" w:rsidRDefault="000B12A5" w:rsidP="0050321D">
      <w:pPr>
        <w:jc w:val="both"/>
        <w:rPr>
          <w:rFonts w:ascii="OpenDyslexic" w:hAnsi="OpenDyslexic"/>
        </w:rPr>
      </w:pPr>
    </w:p>
    <w:p w14:paraId="0A10EE6C" w14:textId="77777777" w:rsidR="000B12A5" w:rsidRDefault="000B12A5" w:rsidP="0050321D">
      <w:pPr>
        <w:jc w:val="both"/>
        <w:rPr>
          <w:rFonts w:ascii="OpenDyslexic" w:hAnsi="OpenDyslexic"/>
        </w:rPr>
      </w:pPr>
    </w:p>
    <w:p w14:paraId="376F6D13" w14:textId="77777777" w:rsidR="000B12A5" w:rsidRDefault="000B12A5" w:rsidP="0050321D">
      <w:pPr>
        <w:jc w:val="both"/>
        <w:rPr>
          <w:rFonts w:ascii="OpenDyslexic" w:hAnsi="OpenDyslexic"/>
        </w:rPr>
      </w:pPr>
    </w:p>
    <w:p w14:paraId="6E13C72D" w14:textId="46975A49" w:rsidR="0050321D" w:rsidRPr="0050321D" w:rsidRDefault="0050321D" w:rsidP="0050321D">
      <w:pPr>
        <w:jc w:val="both"/>
        <w:rPr>
          <w:rFonts w:ascii="OpenDyslexic" w:hAnsi="OpenDyslexic"/>
          <w:b/>
          <w:bCs/>
        </w:rPr>
      </w:pPr>
      <w:r w:rsidRPr="0050321D">
        <w:rPr>
          <w:rFonts w:ascii="OpenDyslexic" w:hAnsi="OpenDyslexic"/>
          <w:b/>
          <w:bCs/>
        </w:rPr>
        <w:lastRenderedPageBreak/>
        <w:t>LA RESSOURCE HANDICAP FORMATION</w:t>
      </w:r>
    </w:p>
    <w:p w14:paraId="07CCFFBD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i/>
          <w:iCs/>
        </w:rPr>
        <w:t>Soutenir les projets de formation des personnes en situation de handicap </w:t>
      </w:r>
    </w:p>
    <w:p w14:paraId="265D9967" w14:textId="517765E3" w:rsidR="006E7692" w:rsidRPr="0050321D" w:rsidRDefault="006E7692" w:rsidP="0050321D">
      <w:pPr>
        <w:jc w:val="both"/>
        <w:rPr>
          <w:rFonts w:ascii="OpenDyslexic" w:hAnsi="OpenDyslexic"/>
        </w:rPr>
      </w:pPr>
      <w:hyperlink r:id="rId8" w:history="1">
        <w:r w:rsidRPr="00227456">
          <w:rPr>
            <w:rStyle w:val="Lienhypertexte"/>
            <w:rFonts w:ascii="OpenDyslexic" w:hAnsi="OpenDyslexic"/>
          </w:rPr>
          <w:t>La ressource</w:t>
        </w:r>
        <w:r w:rsidRPr="00227456">
          <w:rPr>
            <w:rStyle w:val="Lienhypertexte"/>
            <w:rFonts w:ascii="OpenDyslexic" w:hAnsi="OpenDyslexic"/>
          </w:rPr>
          <w:t xml:space="preserve"> </w:t>
        </w:r>
        <w:r w:rsidRPr="00227456">
          <w:rPr>
            <w:rStyle w:val="Lienhypertexte"/>
            <w:rFonts w:ascii="OpenDyslexic" w:hAnsi="OpenDyslexic"/>
          </w:rPr>
          <w:t>handicap formation</w:t>
        </w:r>
      </w:hyperlink>
      <w:r w:rsidR="0050321D" w:rsidRPr="0050321D">
        <w:rPr>
          <w:rFonts w:ascii="OpenDyslexic" w:hAnsi="OpenDyslexic"/>
        </w:rPr>
        <w:t> </w:t>
      </w:r>
    </w:p>
    <w:p w14:paraId="4962A079" w14:textId="48B8417A" w:rsidR="0050321D" w:rsidRPr="0050321D" w:rsidRDefault="0050321D" w:rsidP="0050321D">
      <w:pPr>
        <w:jc w:val="both"/>
        <w:rPr>
          <w:rFonts w:ascii="OpenDyslexic" w:hAnsi="OpenDyslexic"/>
          <w:b/>
          <w:bCs/>
        </w:rPr>
      </w:pPr>
      <w:r w:rsidRPr="0050321D">
        <w:rPr>
          <w:rFonts w:ascii="OpenDyslexic" w:hAnsi="OpenDyslexic"/>
        </w:rPr>
        <w:t> </w:t>
      </w:r>
      <w:r w:rsidRPr="0050321D">
        <w:rPr>
          <w:rFonts w:ascii="OpenDyslexic" w:hAnsi="OpenDyslexic"/>
          <w:b/>
          <w:bCs/>
        </w:rPr>
        <w:t>POURQUOI ?</w:t>
      </w:r>
    </w:p>
    <w:p w14:paraId="67B31BCB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 xml:space="preserve">Permettre à une personne en situation de handicap de bénéficier de conditions adaptées d’accès </w:t>
      </w:r>
      <w:r w:rsidRPr="0050321D">
        <w:rPr>
          <w:rFonts w:ascii="OpenDyslexic" w:hAnsi="OpenDyslexic"/>
        </w:rPr>
        <w:t>et de suivi de sa formation ;</w:t>
      </w:r>
    </w:p>
    <w:p w14:paraId="5D3E32C8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b/>
          <w:bCs/>
        </w:rPr>
        <w:t xml:space="preserve">– Accompagner l’organisme de formation ou le CFA pour mieux répondre à son obligation d’accessibilité et d’aménagement </w:t>
      </w:r>
      <w:r w:rsidRPr="0050321D">
        <w:rPr>
          <w:rFonts w:ascii="OpenDyslexic" w:hAnsi="OpenDyslexic"/>
        </w:rPr>
        <w:t>des parcours de formation ;</w:t>
      </w:r>
    </w:p>
    <w:p w14:paraId="362EFC0C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b/>
          <w:bCs/>
        </w:rPr>
        <w:t xml:space="preserve">– Aider les prescripteurs de formation à anticiper </w:t>
      </w:r>
      <w:r w:rsidRPr="0050321D">
        <w:rPr>
          <w:rFonts w:ascii="OpenDyslexic" w:hAnsi="OpenDyslexic"/>
        </w:rPr>
        <w:t>les besoins de compensation du handicap en amont de l’entrée en formation. </w:t>
      </w:r>
    </w:p>
    <w:p w14:paraId="593D143E" w14:textId="2F765B2E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 </w:t>
      </w:r>
      <w:r w:rsidRPr="0050321D">
        <w:rPr>
          <w:rFonts w:ascii="OpenDyslexic" w:hAnsi="OpenDyslexic"/>
          <w:b/>
          <w:bCs/>
        </w:rPr>
        <w:t xml:space="preserve">A noter : son intervention s’inscrit dans le cadre d’un projet de formation validé. </w:t>
      </w:r>
      <w:r w:rsidRPr="0050321D">
        <w:rPr>
          <w:rFonts w:ascii="OpenDyslexic" w:hAnsi="OpenDyslexic"/>
        </w:rPr>
        <w:t>Ce service n’a pas vocation à venir en appui à la validation d’un projet professionnel ou d’un projet de formation. </w:t>
      </w:r>
    </w:p>
    <w:p w14:paraId="33356924" w14:textId="5FB4BB69" w:rsidR="0050321D" w:rsidRPr="0050321D" w:rsidRDefault="0050321D" w:rsidP="0050321D">
      <w:pPr>
        <w:jc w:val="both"/>
        <w:rPr>
          <w:rFonts w:ascii="OpenDyslexic" w:hAnsi="OpenDyslexic"/>
          <w:b/>
          <w:bCs/>
        </w:rPr>
      </w:pPr>
      <w:r w:rsidRPr="0050321D">
        <w:rPr>
          <w:rFonts w:ascii="OpenDyslexic" w:hAnsi="OpenDyslexic"/>
        </w:rPr>
        <w:t> </w:t>
      </w:r>
      <w:r w:rsidRPr="0050321D">
        <w:rPr>
          <w:rFonts w:ascii="OpenDyslexic" w:hAnsi="OpenDyslexic"/>
          <w:b/>
          <w:bCs/>
        </w:rPr>
        <w:t>POUR QUI ?</w:t>
      </w:r>
    </w:p>
    <w:p w14:paraId="230F5FB9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La Ressource Handicap Formation peut être sollicitée par : </w:t>
      </w:r>
    </w:p>
    <w:p w14:paraId="1FD8074A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>Tout demandeur d’emploi, salarié ou alternant</w:t>
      </w:r>
      <w:r w:rsidRPr="0050321D">
        <w:rPr>
          <w:rFonts w:ascii="OpenDyslexic" w:hAnsi="OpenDyslexic"/>
        </w:rPr>
        <w:t>, bénéficiaire de l’obligation d’emploi (art L5212-13 Code du travail), en cours de l’être ou prêt à engager une démarche en ce sens;</w:t>
      </w:r>
    </w:p>
    <w:p w14:paraId="3D9C5582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 xml:space="preserve">Tout organisme de formation </w:t>
      </w:r>
      <w:r w:rsidRPr="0050321D">
        <w:rPr>
          <w:rFonts w:ascii="OpenDyslexic" w:hAnsi="OpenDyslexic"/>
        </w:rPr>
        <w:t>(continue ou en alternance) ayant un besoin d’un appui à la recherche de solutions d’aménagement pour une situation individuelle;</w:t>
      </w:r>
    </w:p>
    <w:p w14:paraId="31893BD6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 xml:space="preserve">Tout référent de parcours </w:t>
      </w:r>
      <w:r w:rsidRPr="0050321D">
        <w:rPr>
          <w:rFonts w:ascii="OpenDyslexic" w:hAnsi="OpenDyslexic"/>
        </w:rPr>
        <w:t>identifiant des écarts entre les contraintes de la formation et les répercussions du handicap de la personne et souhaitant bénéficier d’un appui. </w:t>
      </w:r>
    </w:p>
    <w:p w14:paraId="5A0FB1B2" w14:textId="3FF05543" w:rsidR="0050321D" w:rsidRPr="0050321D" w:rsidRDefault="0050321D" w:rsidP="0050321D">
      <w:pPr>
        <w:jc w:val="both"/>
        <w:rPr>
          <w:rFonts w:ascii="OpenDyslexic" w:hAnsi="OpenDyslexic"/>
          <w:b/>
          <w:bCs/>
        </w:rPr>
      </w:pPr>
      <w:r w:rsidRPr="0050321D">
        <w:rPr>
          <w:rFonts w:ascii="OpenDyslexic" w:hAnsi="OpenDyslexic"/>
          <w:b/>
          <w:bCs/>
        </w:rPr>
        <w:t>DE QUOI S’AGIT-IL ? </w:t>
      </w:r>
    </w:p>
    <w:p w14:paraId="2720D0BC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La Ressource handicap formation propose un appui pour : </w:t>
      </w:r>
    </w:p>
    <w:p w14:paraId="30F47252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lastRenderedPageBreak/>
        <w:t>– </w:t>
      </w:r>
      <w:r w:rsidRPr="0050321D">
        <w:rPr>
          <w:rFonts w:ascii="OpenDyslexic" w:hAnsi="OpenDyslexic"/>
          <w:b/>
          <w:bCs/>
        </w:rPr>
        <w:t xml:space="preserve">Identifier et réunir </w:t>
      </w:r>
      <w:r w:rsidRPr="0050321D">
        <w:rPr>
          <w:rFonts w:ascii="OpenDyslexic" w:hAnsi="OpenDyslexic"/>
        </w:rPr>
        <w:t xml:space="preserve">les partenaires disposant des compétences et expertises pour détecter, identifier les besoins, et </w:t>
      </w:r>
      <w:proofErr w:type="spellStart"/>
      <w:r w:rsidRPr="0050321D">
        <w:rPr>
          <w:rFonts w:ascii="OpenDyslexic" w:hAnsi="OpenDyslexic"/>
        </w:rPr>
        <w:t>co-construire</w:t>
      </w:r>
      <w:proofErr w:type="spellEnd"/>
      <w:r w:rsidRPr="0050321D">
        <w:rPr>
          <w:rFonts w:ascii="OpenDyslexic" w:hAnsi="OpenDyslexic"/>
        </w:rPr>
        <w:t xml:space="preserve"> les solutions de compensation : </w:t>
      </w:r>
    </w:p>
    <w:p w14:paraId="2CD28C35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Segoe UI Symbol" w:hAnsi="Segoe UI Symbol" w:cs="Segoe UI Symbol"/>
        </w:rPr>
        <w:t>✓</w:t>
      </w:r>
      <w:r w:rsidRPr="0050321D">
        <w:rPr>
          <w:rFonts w:ascii="OpenDyslexic" w:hAnsi="OpenDyslexic"/>
        </w:rPr>
        <w:t xml:space="preserve"> Le référent de parcours qui connaît la personne et son projet </w:t>
      </w:r>
    </w:p>
    <w:p w14:paraId="24598D9F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Segoe UI Symbol" w:hAnsi="Segoe UI Symbol" w:cs="Segoe UI Symbol"/>
        </w:rPr>
        <w:t>✓</w:t>
      </w:r>
      <w:r w:rsidRPr="0050321D">
        <w:rPr>
          <w:rFonts w:ascii="OpenDyslexic" w:hAnsi="OpenDyslexic"/>
        </w:rPr>
        <w:t xml:space="preserve"> </w:t>
      </w:r>
      <w:r w:rsidRPr="0050321D">
        <w:rPr>
          <w:rFonts w:ascii="OpenDyslexic" w:hAnsi="OpenDyslexic"/>
          <w:i/>
          <w:iCs/>
        </w:rPr>
        <w:t>L’organisme de formation ou le CFA qui connaît les exigences de la formation </w:t>
      </w:r>
    </w:p>
    <w:p w14:paraId="1A9AC15D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Segoe UI Symbol" w:hAnsi="Segoe UI Symbol" w:cs="Segoe UI Symbol"/>
        </w:rPr>
        <w:t>✓</w:t>
      </w:r>
      <w:r w:rsidRPr="0050321D">
        <w:rPr>
          <w:rFonts w:ascii="OpenDyslexic" w:hAnsi="OpenDyslexic"/>
        </w:rPr>
        <w:t xml:space="preserve"> La personne en situation de handicap qui connaît les contraintes liées à son handicap </w:t>
      </w:r>
    </w:p>
    <w:p w14:paraId="3DF8D3E4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Segoe UI Symbol" w:hAnsi="Segoe UI Symbol" w:cs="Segoe UI Symbol"/>
        </w:rPr>
        <w:t>✓</w:t>
      </w:r>
      <w:r w:rsidRPr="0050321D">
        <w:rPr>
          <w:rFonts w:ascii="OpenDyslexic" w:hAnsi="OpenDyslexic"/>
        </w:rPr>
        <w:t xml:space="preserve"> Le(s) opérateur(s) spécialisé(s) qui sont experts sur le handicap concerné </w:t>
      </w:r>
    </w:p>
    <w:p w14:paraId="0DE5BA22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Segoe UI Symbol" w:hAnsi="Segoe UI Symbol" w:cs="Segoe UI Symbol"/>
        </w:rPr>
        <w:t>✓</w:t>
      </w:r>
      <w:r w:rsidRPr="0050321D">
        <w:rPr>
          <w:rFonts w:ascii="OpenDyslexic" w:hAnsi="OpenDyslexic"/>
        </w:rPr>
        <w:t xml:space="preserve"> </w:t>
      </w:r>
      <w:r w:rsidRPr="0050321D">
        <w:rPr>
          <w:rFonts w:ascii="OpenDyslexic" w:hAnsi="OpenDyslexic"/>
          <w:i/>
          <w:iCs/>
        </w:rPr>
        <w:t>Le cas échéant, une personne référente en entreprise (tuteur, maître d’apprentissage, référent handicap) ;</w:t>
      </w:r>
    </w:p>
    <w:p w14:paraId="412257D5" w14:textId="58DED6D0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 xml:space="preserve">Accompagner la mise en </w:t>
      </w:r>
      <w:r w:rsidR="000F1AF0" w:rsidRPr="00227456">
        <w:rPr>
          <w:rFonts w:ascii="OpenDyslexic" w:hAnsi="OpenDyslexic"/>
          <w:b/>
          <w:bCs/>
        </w:rPr>
        <w:t>œuvre</w:t>
      </w:r>
      <w:r w:rsidRPr="0050321D">
        <w:rPr>
          <w:rFonts w:ascii="OpenDyslexic" w:hAnsi="OpenDyslexic"/>
          <w:b/>
          <w:bCs/>
        </w:rPr>
        <w:t xml:space="preserve"> et le suivi des aménagements </w:t>
      </w:r>
      <w:r w:rsidRPr="0050321D">
        <w:rPr>
          <w:rFonts w:ascii="OpenDyslexic" w:hAnsi="OpenDyslexic"/>
        </w:rPr>
        <w:t xml:space="preserve">de la situation de formation (en centre et en entreprise) : </w:t>
      </w:r>
      <w:r w:rsidRPr="0050321D">
        <w:rPr>
          <w:rFonts w:ascii="OpenDyslexic" w:hAnsi="OpenDyslexic"/>
          <w:i/>
          <w:iCs/>
        </w:rPr>
        <w:t>durée, rythme, supports pédagogiques, espaces de formation, intervention d’un tiers, aménagements techniques, … </w:t>
      </w:r>
    </w:p>
    <w:p w14:paraId="5D906A08" w14:textId="77701C3A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>Accompagner la mobilisation</w:t>
      </w:r>
      <w:r w:rsidRPr="0050321D">
        <w:rPr>
          <w:rFonts w:ascii="OpenDyslexic" w:hAnsi="OpenDyslexic"/>
        </w:rPr>
        <w:t xml:space="preserve">, si besoin, des dispositifs et des financements nécessaires à la mise en </w:t>
      </w:r>
      <w:r w:rsidR="000F1AF0" w:rsidRPr="00227456">
        <w:rPr>
          <w:rFonts w:ascii="OpenDyslexic" w:hAnsi="OpenDyslexic"/>
        </w:rPr>
        <w:t>œuvre</w:t>
      </w:r>
      <w:r w:rsidRPr="0050321D">
        <w:rPr>
          <w:rFonts w:ascii="OpenDyslexic" w:hAnsi="OpenDyslexic"/>
        </w:rPr>
        <w:t xml:space="preserve"> des aménagements </w:t>
      </w:r>
      <w:proofErr w:type="spellStart"/>
      <w:r w:rsidRPr="0050321D">
        <w:rPr>
          <w:rFonts w:ascii="OpenDyslexic" w:hAnsi="OpenDyslexic"/>
        </w:rPr>
        <w:t>co</w:t>
      </w:r>
      <w:proofErr w:type="spellEnd"/>
      <w:r w:rsidRPr="0050321D">
        <w:rPr>
          <w:rFonts w:ascii="OpenDyslexic" w:hAnsi="OpenDyslexic"/>
        </w:rPr>
        <w:t>-définis ;</w:t>
      </w:r>
    </w:p>
    <w:p w14:paraId="0840A514" w14:textId="16A93DF1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b/>
          <w:bCs/>
        </w:rPr>
        <w:t xml:space="preserve">– Veiller à la mise en </w:t>
      </w:r>
      <w:r w:rsidR="000F1AF0" w:rsidRPr="00227456">
        <w:rPr>
          <w:rFonts w:ascii="OpenDyslexic" w:hAnsi="OpenDyslexic"/>
          <w:b/>
          <w:bCs/>
        </w:rPr>
        <w:t>œuvre</w:t>
      </w:r>
      <w:r w:rsidRPr="0050321D">
        <w:rPr>
          <w:rFonts w:ascii="OpenDyslexic" w:hAnsi="OpenDyslexic"/>
          <w:b/>
          <w:bCs/>
        </w:rPr>
        <w:t xml:space="preserve"> effective </w:t>
      </w:r>
      <w:r w:rsidRPr="0050321D">
        <w:rPr>
          <w:rFonts w:ascii="OpenDyslexic" w:hAnsi="OpenDyslexic"/>
        </w:rPr>
        <w:t>et pérenne des préconisations retenues. </w:t>
      </w:r>
    </w:p>
    <w:p w14:paraId="613799C1" w14:textId="0AC69FD1" w:rsidR="0050321D" w:rsidRPr="0050321D" w:rsidRDefault="0050321D" w:rsidP="0050321D">
      <w:pPr>
        <w:jc w:val="both"/>
        <w:rPr>
          <w:rFonts w:ascii="OpenDyslexic" w:hAnsi="OpenDyslexic"/>
          <w:b/>
          <w:bCs/>
        </w:rPr>
      </w:pPr>
      <w:r w:rsidRPr="0050321D">
        <w:rPr>
          <w:rFonts w:ascii="OpenDyslexic" w:hAnsi="OpenDyslexic"/>
        </w:rPr>
        <w:t>  </w:t>
      </w:r>
      <w:r w:rsidRPr="0050321D">
        <w:rPr>
          <w:rFonts w:ascii="OpenDyslexic" w:hAnsi="OpenDyslexic"/>
          <w:b/>
          <w:bCs/>
        </w:rPr>
        <w:t>CONDITIONS PRÉALABLES </w:t>
      </w:r>
    </w:p>
    <w:p w14:paraId="2D126598" w14:textId="7DD02CA6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 xml:space="preserve">Avoir identifié un risque d’écart entre les possibilités de la personne </w:t>
      </w:r>
      <w:r w:rsidRPr="0050321D">
        <w:rPr>
          <w:rFonts w:ascii="OpenDyslexic" w:hAnsi="OpenDyslexic"/>
        </w:rPr>
        <w:t xml:space="preserve">(au regard de son handicap) </w:t>
      </w:r>
      <w:r w:rsidRPr="0050321D">
        <w:rPr>
          <w:rFonts w:ascii="OpenDyslexic" w:hAnsi="OpenDyslexic"/>
          <w:b/>
          <w:bCs/>
        </w:rPr>
        <w:t xml:space="preserve">et les exigences de la formation </w:t>
      </w:r>
      <w:r w:rsidRPr="0050321D">
        <w:rPr>
          <w:rFonts w:ascii="OpenDyslexic" w:hAnsi="OpenDyslexic"/>
        </w:rPr>
        <w:t xml:space="preserve">(au regard des conditions de mise en </w:t>
      </w:r>
      <w:r w:rsidR="000F1AF0" w:rsidRPr="00227456">
        <w:rPr>
          <w:rFonts w:ascii="OpenDyslexic" w:hAnsi="OpenDyslexic"/>
        </w:rPr>
        <w:t>œuvre</w:t>
      </w:r>
      <w:r w:rsidRPr="0050321D">
        <w:rPr>
          <w:rFonts w:ascii="OpenDyslexic" w:hAnsi="OpenDyslexic"/>
        </w:rPr>
        <w:t>) pouvant créer des difficultés pendant le temps de la formation et conduire à un abandon ou un échec ;</w:t>
      </w:r>
    </w:p>
    <w:p w14:paraId="35D041F3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 xml:space="preserve">Avoir besoin d’un appui </w:t>
      </w:r>
      <w:r w:rsidRPr="0050321D">
        <w:rPr>
          <w:rFonts w:ascii="OpenDyslexic" w:hAnsi="OpenDyslexic"/>
        </w:rPr>
        <w:t>pour organiser une réflexion croisée sur la situation ;</w:t>
      </w:r>
    </w:p>
    <w:p w14:paraId="117ED6EE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– </w:t>
      </w:r>
      <w:r w:rsidRPr="0050321D">
        <w:rPr>
          <w:rFonts w:ascii="OpenDyslexic" w:hAnsi="OpenDyslexic"/>
          <w:b/>
          <w:bCs/>
        </w:rPr>
        <w:t xml:space="preserve">Avoir recueilli l’accord </w:t>
      </w:r>
      <w:r w:rsidRPr="0050321D">
        <w:rPr>
          <w:rFonts w:ascii="OpenDyslexic" w:hAnsi="OpenDyslexic"/>
        </w:rPr>
        <w:t>de la personne et son adhésion à la démarche. </w:t>
      </w:r>
    </w:p>
    <w:p w14:paraId="34A0324D" w14:textId="0A32E3A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 </w:t>
      </w:r>
    </w:p>
    <w:p w14:paraId="00B6759D" w14:textId="77777777" w:rsidR="0050321D" w:rsidRPr="0050321D" w:rsidRDefault="0050321D" w:rsidP="0050321D">
      <w:pPr>
        <w:jc w:val="both"/>
        <w:rPr>
          <w:rFonts w:ascii="OpenDyslexic" w:hAnsi="OpenDyslexic"/>
          <w:b/>
          <w:bCs/>
        </w:rPr>
      </w:pPr>
      <w:r w:rsidRPr="0050321D">
        <w:rPr>
          <w:rFonts w:ascii="OpenDyslexic" w:hAnsi="OpenDyslexic"/>
          <w:b/>
          <w:bCs/>
        </w:rPr>
        <w:lastRenderedPageBreak/>
        <w:t>MODALITES D’INTERVENTION </w:t>
      </w:r>
    </w:p>
    <w:p w14:paraId="72CAC001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b/>
          <w:bCs/>
        </w:rPr>
        <w:t xml:space="preserve">A distance </w:t>
      </w:r>
      <w:r w:rsidRPr="0050321D">
        <w:rPr>
          <w:rFonts w:ascii="OpenDyslexic" w:hAnsi="OpenDyslexic"/>
        </w:rPr>
        <w:t xml:space="preserve">et/ou </w:t>
      </w:r>
      <w:r w:rsidRPr="0050321D">
        <w:rPr>
          <w:rFonts w:ascii="OpenDyslexic" w:hAnsi="OpenDyslexic"/>
          <w:b/>
          <w:bCs/>
        </w:rPr>
        <w:t>sur site. </w:t>
      </w:r>
    </w:p>
    <w:p w14:paraId="71AF5AB5" w14:textId="3EF9D466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> </w:t>
      </w:r>
    </w:p>
    <w:p w14:paraId="592A4F96" w14:textId="15BF5C3A" w:rsidR="000F1AF0" w:rsidRPr="00227456" w:rsidRDefault="000F1AF0" w:rsidP="000F1AF0">
      <w:pPr>
        <w:jc w:val="both"/>
        <w:rPr>
          <w:rFonts w:ascii="OpenDyslexic" w:hAnsi="OpenDyslexic"/>
        </w:rPr>
      </w:pPr>
      <w:r w:rsidRPr="00227456">
        <w:rPr>
          <w:rFonts w:ascii="OpenDyslexic" w:hAnsi="OpenDyslexic"/>
        </w:rPr>
        <w:t>E</w:t>
      </w:r>
      <w:r w:rsidRPr="00227456">
        <w:rPr>
          <w:rFonts w:ascii="OpenDyslexic" w:hAnsi="OpenDyslexic"/>
        </w:rPr>
        <w:t xml:space="preserve">n savoir plus : </w:t>
      </w:r>
    </w:p>
    <w:p w14:paraId="473C077B" w14:textId="77777777" w:rsidR="000F1AF0" w:rsidRPr="000F1AF0" w:rsidRDefault="000F1AF0" w:rsidP="000F1AF0">
      <w:pPr>
        <w:jc w:val="both"/>
        <w:rPr>
          <w:rFonts w:ascii="OpenDyslexic" w:hAnsi="OpenDyslexic"/>
        </w:rPr>
      </w:pPr>
      <w:r w:rsidRPr="000F1AF0">
        <w:rPr>
          <w:rFonts w:ascii="OpenDyslexic" w:hAnsi="OpenDyslexic"/>
        </w:rPr>
        <w:t xml:space="preserve">Pour en savoir plus, vous pouvez poser une question au service Ressources Handicap Formation de l’Agefiph en envoyant un mail à l’adresse suivante : </w:t>
      </w:r>
      <w:hyperlink r:id="rId9" w:history="1">
        <w:r w:rsidRPr="000F1AF0">
          <w:rPr>
            <w:rStyle w:val="Lienhypertexte"/>
            <w:rFonts w:ascii="OpenDyslexic" w:hAnsi="OpenDyslexic"/>
          </w:rPr>
          <w:t>rhf-cvl@agefiph.asso.fr</w:t>
        </w:r>
      </w:hyperlink>
    </w:p>
    <w:p w14:paraId="7F268D21" w14:textId="64F7D94A" w:rsidR="0050321D" w:rsidRPr="0050321D" w:rsidRDefault="0050321D" w:rsidP="0050321D">
      <w:pPr>
        <w:jc w:val="both"/>
        <w:rPr>
          <w:rFonts w:ascii="OpenDyslexic" w:hAnsi="OpenDyslexic"/>
        </w:rPr>
      </w:pPr>
    </w:p>
    <w:p w14:paraId="0501159D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b/>
          <w:bCs/>
        </w:rPr>
        <w:t>Fiches pratiques</w:t>
      </w:r>
      <w:r w:rsidRPr="0050321D">
        <w:rPr>
          <w:rFonts w:ascii="OpenDyslexic" w:hAnsi="OpenDyslexic"/>
        </w:rPr>
        <w:t xml:space="preserve"> en fonction de la situation du stagiaire : </w:t>
      </w:r>
      <w:r w:rsidRPr="0050321D">
        <w:rPr>
          <w:rFonts w:ascii="Segoe UI Emoji" w:hAnsi="Segoe UI Emoji" w:cs="Segoe UI Emoji"/>
        </w:rPr>
        <w:t>👉</w:t>
      </w:r>
      <w:r w:rsidRPr="0050321D">
        <w:rPr>
          <w:rFonts w:ascii="OpenDyslexic" w:hAnsi="OpenDyslexic"/>
        </w:rPr>
        <w:t xml:space="preserve"> </w:t>
      </w:r>
      <w:hyperlink r:id="rId10" w:history="1">
        <w:r w:rsidRPr="0050321D">
          <w:rPr>
            <w:rStyle w:val="Lienhypertexte"/>
            <w:rFonts w:ascii="OpenDyslexic" w:hAnsi="OpenDyslexic"/>
            <w:b/>
            <w:bCs/>
          </w:rPr>
          <w:t>cliquez ici</w:t>
        </w:r>
      </w:hyperlink>
      <w:r w:rsidRPr="0050321D">
        <w:rPr>
          <w:rFonts w:ascii="OpenDyslexic" w:hAnsi="OpenDyslexic"/>
          <w:b/>
          <w:bCs/>
        </w:rPr>
        <w:t xml:space="preserve">  </w:t>
      </w:r>
      <w:r w:rsidRPr="0050321D">
        <w:rPr>
          <w:rFonts w:ascii="Segoe UI Emoji" w:hAnsi="Segoe UI Emoji" w:cs="Segoe UI Emoji"/>
          <w:b/>
          <w:bCs/>
        </w:rPr>
        <w:t>👈</w:t>
      </w:r>
      <w:r w:rsidRPr="0050321D">
        <w:rPr>
          <w:rFonts w:ascii="OpenDyslexic" w:hAnsi="OpenDyslexic"/>
          <w:b/>
          <w:bCs/>
        </w:rPr>
        <w:t> </w:t>
      </w:r>
    </w:p>
    <w:p w14:paraId="15A6EDCC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  <w:b/>
          <w:bCs/>
        </w:rPr>
        <w:t>Annuaires</w:t>
      </w:r>
      <w:r w:rsidRPr="0050321D">
        <w:rPr>
          <w:rFonts w:ascii="OpenDyslexic" w:hAnsi="OpenDyslexic"/>
        </w:rPr>
        <w:t xml:space="preserve"> des principaux </w:t>
      </w:r>
      <w:r w:rsidRPr="0050321D">
        <w:rPr>
          <w:rFonts w:ascii="OpenDyslexic" w:hAnsi="OpenDyslexic"/>
          <w:b/>
          <w:bCs/>
        </w:rPr>
        <w:t>acteurs du champ du handicap</w:t>
      </w:r>
      <w:r w:rsidRPr="0050321D">
        <w:rPr>
          <w:rFonts w:ascii="OpenDyslexic" w:hAnsi="OpenDyslexic"/>
        </w:rPr>
        <w:t xml:space="preserve"> sur l’ensemble de la </w:t>
      </w:r>
      <w:r w:rsidRPr="0050321D">
        <w:rPr>
          <w:rFonts w:ascii="OpenDyslexic" w:hAnsi="OpenDyslexic"/>
          <w:b/>
          <w:bCs/>
        </w:rPr>
        <w:t>FRANCE</w:t>
      </w:r>
      <w:r w:rsidRPr="0050321D">
        <w:rPr>
          <w:rFonts w:ascii="OpenDyslexic" w:hAnsi="OpenDyslexic"/>
        </w:rPr>
        <w:t xml:space="preserve"> : </w:t>
      </w:r>
      <w:r w:rsidRPr="0050321D">
        <w:rPr>
          <w:rFonts w:ascii="Segoe UI Emoji" w:hAnsi="Segoe UI Emoji" w:cs="Segoe UI Emoji"/>
        </w:rPr>
        <w:t>👉</w:t>
      </w:r>
      <w:r w:rsidRPr="0050321D">
        <w:rPr>
          <w:rFonts w:ascii="OpenDyslexic" w:hAnsi="OpenDyslexic"/>
        </w:rPr>
        <w:t xml:space="preserve"> </w:t>
      </w:r>
      <w:hyperlink r:id="rId11" w:history="1">
        <w:r w:rsidRPr="0050321D">
          <w:rPr>
            <w:rStyle w:val="Lienhypertexte"/>
            <w:rFonts w:ascii="OpenDyslexic" w:hAnsi="OpenDyslexic"/>
            <w:b/>
            <w:bCs/>
          </w:rPr>
          <w:t>clique</w:t>
        </w:r>
        <w:r w:rsidRPr="0050321D">
          <w:rPr>
            <w:rStyle w:val="Lienhypertexte"/>
            <w:rFonts w:ascii="OpenDyslexic" w:hAnsi="OpenDyslexic"/>
            <w:b/>
            <w:bCs/>
          </w:rPr>
          <w:t>z</w:t>
        </w:r>
        <w:r w:rsidRPr="0050321D">
          <w:rPr>
            <w:rStyle w:val="Lienhypertexte"/>
            <w:rFonts w:ascii="OpenDyslexic" w:hAnsi="OpenDyslexic"/>
            <w:b/>
            <w:bCs/>
          </w:rPr>
          <w:t xml:space="preserve"> ici</w:t>
        </w:r>
      </w:hyperlink>
      <w:r w:rsidRPr="0050321D">
        <w:rPr>
          <w:rFonts w:ascii="OpenDyslexic" w:hAnsi="OpenDyslexic"/>
          <w:b/>
          <w:bCs/>
        </w:rPr>
        <w:t> </w:t>
      </w:r>
      <w:r w:rsidRPr="0050321D">
        <w:rPr>
          <w:rFonts w:ascii="Segoe UI Emoji" w:hAnsi="Segoe UI Emoji" w:cs="Segoe UI Emoji"/>
          <w:b/>
          <w:bCs/>
        </w:rPr>
        <w:t>👈</w:t>
      </w:r>
      <w:r w:rsidRPr="0050321D">
        <w:rPr>
          <w:rFonts w:ascii="OpenDyslexic" w:hAnsi="OpenDyslexic"/>
          <w:b/>
          <w:bCs/>
        </w:rPr>
        <w:t> </w:t>
      </w:r>
    </w:p>
    <w:p w14:paraId="3FFD62B5" w14:textId="77777777" w:rsidR="0050321D" w:rsidRPr="0050321D" w:rsidRDefault="0050321D" w:rsidP="0050321D">
      <w:pPr>
        <w:jc w:val="both"/>
        <w:rPr>
          <w:rFonts w:ascii="OpenDyslexic" w:hAnsi="OpenDyslexic"/>
        </w:rPr>
      </w:pPr>
      <w:r w:rsidRPr="0050321D">
        <w:rPr>
          <w:rFonts w:ascii="OpenDyslexic" w:hAnsi="OpenDyslexic"/>
        </w:rPr>
        <w:t xml:space="preserve">Liste des </w:t>
      </w:r>
      <w:r w:rsidRPr="0050321D">
        <w:rPr>
          <w:rFonts w:ascii="OpenDyslexic" w:hAnsi="OpenDyslexic"/>
          <w:b/>
          <w:bCs/>
        </w:rPr>
        <w:t>MDPH</w:t>
      </w:r>
      <w:r w:rsidRPr="0050321D">
        <w:rPr>
          <w:rFonts w:ascii="OpenDyslexic" w:hAnsi="OpenDyslexic"/>
        </w:rPr>
        <w:t xml:space="preserve"> de France : </w:t>
      </w:r>
      <w:r w:rsidRPr="0050321D">
        <w:rPr>
          <w:rFonts w:ascii="Segoe UI Emoji" w:hAnsi="Segoe UI Emoji" w:cs="Segoe UI Emoji"/>
        </w:rPr>
        <w:t>👉</w:t>
      </w:r>
      <w:r w:rsidRPr="0050321D">
        <w:rPr>
          <w:rFonts w:ascii="OpenDyslexic" w:hAnsi="OpenDyslexic"/>
        </w:rPr>
        <w:t xml:space="preserve"> </w:t>
      </w:r>
      <w:hyperlink r:id="rId12" w:history="1">
        <w:r w:rsidRPr="0050321D">
          <w:rPr>
            <w:rStyle w:val="Lienhypertexte"/>
            <w:rFonts w:ascii="OpenDyslexic" w:hAnsi="OpenDyslexic"/>
            <w:b/>
            <w:bCs/>
          </w:rPr>
          <w:t>cliquez ici </w:t>
        </w:r>
      </w:hyperlink>
      <w:r w:rsidRPr="0050321D">
        <w:rPr>
          <w:rFonts w:ascii="OpenDyslexic" w:hAnsi="OpenDyslexic"/>
          <w:b/>
          <w:bCs/>
        </w:rPr>
        <w:t xml:space="preserve"> </w:t>
      </w:r>
      <w:r w:rsidRPr="0050321D">
        <w:rPr>
          <w:rFonts w:ascii="Segoe UI Emoji" w:hAnsi="Segoe UI Emoji" w:cs="Segoe UI Emoji"/>
          <w:b/>
          <w:bCs/>
        </w:rPr>
        <w:t>👈</w:t>
      </w:r>
      <w:r w:rsidRPr="0050321D">
        <w:rPr>
          <w:rFonts w:ascii="OpenDyslexic" w:hAnsi="OpenDyslexic"/>
          <w:b/>
          <w:bCs/>
        </w:rPr>
        <w:t> </w:t>
      </w:r>
    </w:p>
    <w:p w14:paraId="6EF74914" w14:textId="77777777" w:rsidR="00BE7A9C" w:rsidRDefault="00BE7A9C" w:rsidP="0050321D">
      <w:pPr>
        <w:jc w:val="both"/>
        <w:rPr>
          <w:rFonts w:ascii="OpenDyslexic" w:hAnsi="OpenDyslexic"/>
        </w:rPr>
      </w:pPr>
    </w:p>
    <w:p w14:paraId="76C08B0C" w14:textId="72FBF935" w:rsidR="0050321D" w:rsidRPr="00BE7A9C" w:rsidRDefault="00BE7A9C" w:rsidP="0050321D">
      <w:pPr>
        <w:jc w:val="both"/>
        <w:rPr>
          <w:rFonts w:ascii="OpenDyslexic" w:hAnsi="OpenDyslexic"/>
          <w:b/>
          <w:bCs/>
        </w:rPr>
      </w:pPr>
      <w:r w:rsidRPr="00BE7A9C">
        <w:rPr>
          <w:rFonts w:ascii="OpenDyslexic" w:hAnsi="OpenDyslexic"/>
          <w:b/>
          <w:bCs/>
        </w:rPr>
        <w:t xml:space="preserve">Texte rédigé avec la police </w:t>
      </w:r>
      <w:proofErr w:type="spellStart"/>
      <w:r w:rsidRPr="00BE7A9C">
        <w:rPr>
          <w:rFonts w:ascii="OpenDyslexic" w:hAnsi="OpenDyslexic"/>
          <w:b/>
          <w:bCs/>
        </w:rPr>
        <w:t>Opendyslexic</w:t>
      </w:r>
      <w:proofErr w:type="spellEnd"/>
      <w:r>
        <w:rPr>
          <w:rFonts w:ascii="OpenDyslexic" w:hAnsi="OpenDyslexic"/>
          <w:b/>
          <w:bCs/>
        </w:rPr>
        <w:t>.</w:t>
      </w:r>
    </w:p>
    <w:p w14:paraId="2FF9C985" w14:textId="77777777" w:rsidR="00BE7A9C" w:rsidRPr="00227456" w:rsidRDefault="00BE7A9C" w:rsidP="0050321D">
      <w:pPr>
        <w:jc w:val="both"/>
        <w:rPr>
          <w:rFonts w:ascii="OpenDyslexic" w:hAnsi="OpenDyslexic"/>
        </w:rPr>
      </w:pPr>
    </w:p>
    <w:p w14:paraId="1F7173BB" w14:textId="268C4D9A" w:rsidR="0017259C" w:rsidRPr="0050321D" w:rsidRDefault="0017259C" w:rsidP="0050321D">
      <w:pPr>
        <w:jc w:val="both"/>
        <w:rPr>
          <w:rFonts w:ascii="OpenDyslexic" w:hAnsi="OpenDyslexic"/>
        </w:rPr>
      </w:pPr>
      <w:r w:rsidRPr="00227456">
        <w:rPr>
          <w:rFonts w:ascii="OpenDyslexic" w:hAnsi="OpenDyslexic"/>
        </w:rPr>
        <w:t>MAJ Mai 2024</w:t>
      </w:r>
    </w:p>
    <w:p w14:paraId="34F47B24" w14:textId="1B2E9CAC" w:rsidR="00625E0A" w:rsidRPr="00227456" w:rsidRDefault="007D0346" w:rsidP="0050321D">
      <w:pPr>
        <w:jc w:val="both"/>
        <w:rPr>
          <w:rFonts w:ascii="OpenDyslexic" w:hAnsi="OpenDyslexic"/>
        </w:rPr>
      </w:pPr>
      <w:r w:rsidRPr="00227456">
        <w:rPr>
          <w:rFonts w:ascii="OpenDyslexic" w:hAnsi="OpenDyslexic"/>
          <w:noProof/>
        </w:rPr>
        <w:drawing>
          <wp:anchor distT="0" distB="0" distL="114300" distR="114300" simplePos="0" relativeHeight="251659264" behindDoc="0" locked="0" layoutInCell="1" allowOverlap="1" wp14:anchorId="203087F1" wp14:editId="7BCF1A7C">
            <wp:simplePos x="0" y="0"/>
            <wp:positionH relativeFrom="column">
              <wp:posOffset>-906780</wp:posOffset>
            </wp:positionH>
            <wp:positionV relativeFrom="page">
              <wp:posOffset>-121285</wp:posOffset>
            </wp:positionV>
            <wp:extent cx="1780540" cy="890270"/>
            <wp:effectExtent l="0" t="0" r="0" b="5080"/>
            <wp:wrapSquare wrapText="bothSides"/>
            <wp:docPr id="10" name="Image 1" descr="C:\Users\Chansard\Desktop\Abracadabra Conseil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Chansard\Desktop\Abracadabra Conseil\LOGOS\logo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25E0A" w:rsidRPr="00227456" w:rsidSect="004F2B6C">
      <w:footerReference w:type="default" r:id="rId13"/>
      <w:pgSz w:w="11906" w:h="16838"/>
      <w:pgMar w:top="1417" w:right="1417" w:bottom="993" w:left="1417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1F056" w14:textId="77777777" w:rsidR="00162415" w:rsidRDefault="00162415" w:rsidP="007D0346">
      <w:pPr>
        <w:spacing w:after="0" w:line="240" w:lineRule="auto"/>
      </w:pPr>
      <w:r>
        <w:separator/>
      </w:r>
    </w:p>
  </w:endnote>
  <w:endnote w:type="continuationSeparator" w:id="0">
    <w:p w14:paraId="4CD958C7" w14:textId="77777777" w:rsidR="00162415" w:rsidRDefault="00162415" w:rsidP="007D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Medium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28F0" w14:textId="77777777" w:rsidR="004F2B6C" w:rsidRDefault="004F2B6C" w:rsidP="004F2B6C">
    <w:pPr>
      <w:widowControl w:val="0"/>
      <w:suppressAutoHyphens/>
      <w:spacing w:after="0" w:line="240" w:lineRule="auto"/>
      <w:jc w:val="center"/>
      <w:rPr>
        <w:rFonts w:ascii="Cambria" w:eastAsia="SimSun" w:hAnsi="Cambria" w:cs="Futura Std Medium"/>
        <w:sz w:val="18"/>
        <w:szCs w:val="18"/>
        <w:lang w:eastAsia="hi-IN" w:bidi="hi-IN"/>
        <w14:ligatures w14:val="none"/>
      </w:rPr>
    </w:pPr>
  </w:p>
  <w:p w14:paraId="2D6BCB22" w14:textId="53F67757" w:rsidR="004F2B6C" w:rsidRPr="004F2B6C" w:rsidRDefault="004F2B6C" w:rsidP="004F2B6C">
    <w:pPr>
      <w:widowControl w:val="0"/>
      <w:suppressAutoHyphens/>
      <w:spacing w:after="0" w:line="240" w:lineRule="auto"/>
      <w:jc w:val="center"/>
      <w:rPr>
        <w:rFonts w:ascii="Cambria" w:eastAsia="SimSun" w:hAnsi="Cambria" w:cs="Futura Std Medium"/>
        <w:sz w:val="17"/>
        <w:szCs w:val="17"/>
        <w:lang w:eastAsia="hi-IN" w:bidi="hi-IN"/>
        <w14:ligatures w14:val="none"/>
      </w:rPr>
    </w:pPr>
    <w:r w:rsidRPr="004F2B6C">
      <w:rPr>
        <w:rFonts w:ascii="Cambria" w:eastAsia="SimSun" w:hAnsi="Cambria" w:cs="Futura Std Medium"/>
        <w:sz w:val="17"/>
        <w:szCs w:val="17"/>
        <w:lang w:eastAsia="hi-IN" w:bidi="hi-IN"/>
        <w14:ligatures w14:val="none"/>
      </w:rPr>
      <w:t>Abracadabra Conseil, Virginie CHANSARD</w:t>
    </w:r>
  </w:p>
  <w:p w14:paraId="1B5C9D7D" w14:textId="78283AFA" w:rsidR="004F2B6C" w:rsidRPr="004F2B6C" w:rsidRDefault="004F2B6C" w:rsidP="004F2B6C">
    <w:pPr>
      <w:widowControl w:val="0"/>
      <w:suppressAutoHyphens/>
      <w:spacing w:after="0" w:line="240" w:lineRule="auto"/>
      <w:jc w:val="center"/>
      <w:rPr>
        <w:rFonts w:ascii="Cambria" w:eastAsia="SimSun" w:hAnsi="Cambria" w:cs="Futura Std Medium"/>
        <w:sz w:val="17"/>
        <w:szCs w:val="17"/>
        <w:lang w:eastAsia="hi-IN" w:bidi="hi-IN"/>
        <w14:ligatures w14:val="none"/>
      </w:rPr>
    </w:pPr>
    <w:r w:rsidRPr="004F2B6C">
      <w:rPr>
        <w:rFonts w:ascii="Cambria" w:eastAsia="SimSun" w:hAnsi="Cambria" w:cs="Futura Std Medium"/>
        <w:sz w:val="17"/>
        <w:szCs w:val="17"/>
        <w:lang w:eastAsia="hi-IN" w:bidi="hi-IN"/>
        <w14:ligatures w14:val="none"/>
      </w:rPr>
      <w:t>25 Les Pains Bénis 37310 Reignac sur Indre. Tél : 06 67 46 87 62. Courriel : abracadabraconseil@gmail.com</w:t>
    </w:r>
  </w:p>
  <w:p w14:paraId="4B12787C" w14:textId="77777777" w:rsidR="004F2B6C" w:rsidRPr="004F2B6C" w:rsidRDefault="004F2B6C" w:rsidP="004F2B6C">
    <w:pPr>
      <w:widowControl w:val="0"/>
      <w:suppressAutoHyphens/>
      <w:spacing w:after="0" w:line="240" w:lineRule="auto"/>
      <w:jc w:val="center"/>
      <w:rPr>
        <w:rFonts w:ascii="Cambria" w:eastAsia="SimSun" w:hAnsi="Cambria" w:cs="Times New Roman"/>
        <w:sz w:val="17"/>
        <w:szCs w:val="17"/>
        <w:lang w:eastAsia="hi-IN" w:bidi="hi-IN"/>
        <w14:ligatures w14:val="none"/>
      </w:rPr>
    </w:pPr>
    <w:r w:rsidRPr="004F2B6C">
      <w:rPr>
        <w:rFonts w:ascii="Cambria" w:eastAsia="SimSun" w:hAnsi="Cambria" w:cs="Futura Std Medium"/>
        <w:sz w:val="17"/>
        <w:szCs w:val="17"/>
        <w:lang w:val="en-US" w:eastAsia="hi-IN" w:bidi="hi-IN"/>
        <w14:ligatures w14:val="none"/>
      </w:rPr>
      <w:t xml:space="preserve">SIRET 850 128 273 </w:t>
    </w:r>
    <w:r w:rsidRPr="004F2B6C">
      <w:rPr>
        <w:rFonts w:ascii="Cambria" w:eastAsia="SimSun" w:hAnsi="Cambria" w:cs="Times New Roman"/>
        <w:sz w:val="17"/>
        <w:szCs w:val="17"/>
        <w:lang w:eastAsia="hi-IN" w:bidi="hi-IN"/>
        <w14:ligatures w14:val="none"/>
      </w:rPr>
      <w:t>00016 « Dispensé d’immatriculation en application de l’article L123-1-1 du Code de Commerce »,</w:t>
    </w:r>
  </w:p>
  <w:p w14:paraId="1EA5101B" w14:textId="7E2B4DDD" w:rsidR="004F2B6C" w:rsidRPr="004F2B6C" w:rsidRDefault="004F2B6C" w:rsidP="004F2B6C">
    <w:pPr>
      <w:widowControl w:val="0"/>
      <w:suppressAutoHyphens/>
      <w:spacing w:after="0" w:line="240" w:lineRule="auto"/>
      <w:jc w:val="center"/>
      <w:rPr>
        <w:rFonts w:ascii="Arial" w:eastAsia="Arial" w:hAnsi="Arial" w:cs="Arial"/>
        <w:kern w:val="0"/>
        <w:sz w:val="17"/>
        <w:szCs w:val="17"/>
        <w:lang w:eastAsia="fr-FR"/>
        <w14:ligatures w14:val="none"/>
      </w:rPr>
    </w:pPr>
    <w:r w:rsidRPr="004F2B6C">
      <w:rPr>
        <w:rFonts w:ascii="Cambria" w:eastAsia="SimSun" w:hAnsi="Cambria" w:cs="Times New Roman"/>
        <w:sz w:val="17"/>
        <w:szCs w:val="17"/>
        <w:lang w:eastAsia="hi-IN" w:bidi="hi-IN"/>
        <w14:ligatures w14:val="none"/>
      </w:rPr>
      <w:t xml:space="preserve">NAF 7022Z, « TVA non applicable, art. 293B du CGI ». Organisme de formation enregistré sous le numéro </w:t>
    </w:r>
    <w:r w:rsidRPr="004F2B6C">
      <w:rPr>
        <w:rFonts w:ascii="Cambria" w:eastAsia="SimSun" w:hAnsi="Cambria" w:cs="Times New Roman"/>
        <w:sz w:val="17"/>
        <w:szCs w:val="17"/>
        <w:lang w:eastAsia="hi-IN" w:bidi="hi-IN"/>
        <w14:ligatures w14:val="none"/>
      </w:rPr>
      <w:t>2</w:t>
    </w:r>
    <w:r w:rsidRPr="004F2B6C">
      <w:rPr>
        <w:rFonts w:ascii="Cambria" w:eastAsia="SimSun" w:hAnsi="Cambria" w:cs="Times New Roman"/>
        <w:sz w:val="17"/>
        <w:szCs w:val="17"/>
        <w:lang w:eastAsia="hi-IN" w:bidi="hi-IN"/>
        <w14:ligatures w14:val="none"/>
      </w:rPr>
      <w:t>4370388337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EBDF7" w14:textId="77777777" w:rsidR="00162415" w:rsidRDefault="00162415" w:rsidP="007D0346">
      <w:pPr>
        <w:spacing w:after="0" w:line="240" w:lineRule="auto"/>
      </w:pPr>
      <w:r>
        <w:separator/>
      </w:r>
    </w:p>
  </w:footnote>
  <w:footnote w:type="continuationSeparator" w:id="0">
    <w:p w14:paraId="61DF7BCC" w14:textId="77777777" w:rsidR="00162415" w:rsidRDefault="00162415" w:rsidP="007D0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46"/>
    <w:rsid w:val="000B12A5"/>
    <w:rsid w:val="000F1AF0"/>
    <w:rsid w:val="00102AF9"/>
    <w:rsid w:val="00162415"/>
    <w:rsid w:val="0017259C"/>
    <w:rsid w:val="00227456"/>
    <w:rsid w:val="004F2B6C"/>
    <w:rsid w:val="0050321D"/>
    <w:rsid w:val="00625E0A"/>
    <w:rsid w:val="006E7692"/>
    <w:rsid w:val="007D0346"/>
    <w:rsid w:val="009F612C"/>
    <w:rsid w:val="00AD64C9"/>
    <w:rsid w:val="00BE7A9C"/>
    <w:rsid w:val="00C717DB"/>
    <w:rsid w:val="00C810A6"/>
    <w:rsid w:val="00DE678B"/>
    <w:rsid w:val="00E337B6"/>
    <w:rsid w:val="00E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D5DF"/>
  <w15:chartTrackingRefBased/>
  <w15:docId w15:val="{76D10367-9171-47BF-80E2-7741129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0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0346"/>
  </w:style>
  <w:style w:type="paragraph" w:styleId="Pieddepage">
    <w:name w:val="footer"/>
    <w:basedOn w:val="Normal"/>
    <w:link w:val="PieddepageCar"/>
    <w:uiPriority w:val="99"/>
    <w:unhideWhenUsed/>
    <w:rsid w:val="007D0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346"/>
  </w:style>
  <w:style w:type="character" w:styleId="Lienhypertexte">
    <w:name w:val="Hyperlink"/>
    <w:basedOn w:val="Policepardfaut"/>
    <w:uiPriority w:val="99"/>
    <w:unhideWhenUsed/>
    <w:rsid w:val="005032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32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7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&amp;v=sNo7qYLCq5U&amp;embeds_referring_euri=https%3A%2F%2F5sens-conseils.com%2F&amp;source_ve_path=Mjg2NjY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bracadabraconseil@gmail.com" TargetMode="External"/><Relationship Id="rId12" Type="http://schemas.openxmlformats.org/officeDocument/2006/relationships/hyperlink" Target="https://lannuaire.service-public.fr/navigation/maison_handicape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gefiph.fr/annuair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monparcourshandicap.gouv.fr/formation-professionnelle/compenser-votre-handicap-en-form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hf-cvl@agefiph.asso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CHANSARD</dc:creator>
  <cp:keywords/>
  <dc:description/>
  <cp:lastModifiedBy>Virginie CHANSARD</cp:lastModifiedBy>
  <cp:revision>42</cp:revision>
  <dcterms:created xsi:type="dcterms:W3CDTF">2024-10-07T10:13:00Z</dcterms:created>
  <dcterms:modified xsi:type="dcterms:W3CDTF">2024-10-07T10:57:00Z</dcterms:modified>
</cp:coreProperties>
</file>